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24" w:rsidRPr="00A24937" w:rsidRDefault="00032920" w:rsidP="00DE1E96">
      <w:pPr>
        <w:spacing w:before="120" w:after="0"/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de-DE" w:eastAsia="fr-LU"/>
        </w:rPr>
      </w:pPr>
      <w:r w:rsidRPr="00A24937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de-DE" w:eastAsia="fr-LU"/>
        </w:rPr>
        <w:t>Neue Steuergesetze in</w:t>
      </w:r>
      <w:r w:rsidR="00782D24" w:rsidRPr="00A24937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de-DE" w:eastAsia="fr-LU"/>
        </w:rPr>
        <w:t xml:space="preserve"> </w:t>
      </w:r>
      <w:r w:rsidRPr="00A24937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de-DE" w:eastAsia="fr-LU"/>
        </w:rPr>
        <w:t>Luxemb</w:t>
      </w:r>
      <w:r w:rsidR="00C7643B" w:rsidRPr="00A24937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de-DE" w:eastAsia="fr-LU"/>
        </w:rPr>
        <w:t>urg</w:t>
      </w:r>
    </w:p>
    <w:p w:rsidR="00241E30" w:rsidRPr="00DE1E96" w:rsidRDefault="00241E30" w:rsidP="00DE1E96">
      <w:pPr>
        <w:pBdr>
          <w:bottom w:val="double" w:sz="4" w:space="1" w:color="17365D" w:themeColor="text2" w:themeShade="BF"/>
        </w:pBdr>
        <w:spacing w:before="120" w:after="0"/>
        <w:jc w:val="center"/>
        <w:rPr>
          <w:rFonts w:ascii="Times New Roman" w:eastAsiaTheme="minorEastAsia" w:hAnsi="Times New Roman" w:cs="Times New Roman"/>
          <w:b/>
          <w:color w:val="002060"/>
          <w:sz w:val="16"/>
          <w:szCs w:val="16"/>
          <w:lang w:val="de-DE" w:eastAsia="fr-LU"/>
        </w:rPr>
      </w:pPr>
    </w:p>
    <w:p w:rsidR="0030019E" w:rsidRPr="00DE1E96" w:rsidRDefault="0030019E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C7643B" w:rsidRPr="00A24937" w:rsidRDefault="00032920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Mit den zuletzt verabschiedeten Steuergesetzen hat der Gesetzgeber </w:t>
      </w:r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sein Engagement bewiesen</w:t>
      </w: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,</w:t>
      </w:r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um</w:t>
      </w: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die Attraktivität und die Wettbewerbsfähigkeit </w:t>
      </w:r>
      <w:r w:rsidR="00C7643B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Luxemburg</w:t>
      </w: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</w:t>
      </w:r>
      <w:r w:rsidR="00C7643B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auf internationaler Ebene zu erhöhen</w:t>
      </w:r>
      <w:r w:rsidR="00C7643B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575144" w:rsidRPr="00DE1E96" w:rsidRDefault="00575144" w:rsidP="00782D24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DE1E96" w:rsidRPr="00DE1E96" w:rsidRDefault="00DE1E96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</w:pPr>
      <w:r w:rsidRPr="00DE1E96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>« </w:t>
      </w:r>
      <w:proofErr w:type="spellStart"/>
      <w:r w:rsidRPr="00DE1E96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>Step-up</w:t>
      </w:r>
      <w:proofErr w:type="spellEnd"/>
      <w:r w:rsidRPr="00DE1E96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 xml:space="preserve"> » -Mechanismus </w:t>
      </w:r>
    </w:p>
    <w:p w:rsidR="00C7643B" w:rsidRPr="00A24937" w:rsidRDefault="00032920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Der </w:t>
      </w:r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Gesetzgeber hat durch den « </w:t>
      </w:r>
      <w:proofErr w:type="spellStart"/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tep-up</w:t>
      </w:r>
      <w:proofErr w:type="spellEnd"/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 » -Mechanismus eine Abweichung von dem Prinzip der Besteuerung der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Kapitalgewinne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eingeführt.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Im Falle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des Verkaufs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einer größeren Beteiligung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(&gt;10%) 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nach der Verlegung des S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itzes nach Luxemburg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wird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der Kapitalgewinn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nunmehr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berechnet aufgrund der Differenz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zwischen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dem Verka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ufspreis und dem (geschätzten) Verkaufsw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ert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der Wertpapiere zum Stichtag der Verlegung des steuerlichen Sitzes</w:t>
      </w:r>
      <w:r w:rsidR="00C7643B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nach Luxemb</w:t>
      </w:r>
      <w:r w:rsidR="0047031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urg. 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Somit verzichtet Luxemb</w:t>
      </w:r>
      <w:r w:rsidR="0047031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urg </w:t>
      </w:r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auf sein Recht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zur Besteuerung des </w:t>
      </w:r>
      <w:r w:rsidR="0047031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nicht realisierten Gewinns</w:t>
      </w:r>
      <w:r w:rsid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,</w:t>
      </w:r>
      <w:r w:rsidR="0047031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2549F5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der sich in dem vorherigen Aufenthaltsland angesammelt hat</w:t>
      </w:r>
      <w:r w:rsidR="0047031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, </w:t>
      </w:r>
      <w:r w:rsidR="00A24937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und verhindert damit eine Doppelbesteuerung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575144" w:rsidRPr="00DE1E96" w:rsidRDefault="00575144" w:rsidP="00782D24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A24937" w:rsidRDefault="002549F5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</w:pPr>
      <w:r w:rsidRPr="002549F5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>Steuertabelle</w:t>
      </w:r>
      <w:r w:rsidR="00470317" w:rsidRPr="002549F5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 xml:space="preserve"> </w:t>
      </w:r>
      <w:r w:rsidR="00A24937" w:rsidRPr="002549F5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>zur Berechnung der Vermögensteuer</w:t>
      </w:r>
      <w:r w:rsidR="00470317" w:rsidRPr="00A24937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 xml:space="preserve"> </w:t>
      </w:r>
    </w:p>
    <w:p w:rsidR="00470317" w:rsidRPr="00A24937" w:rsidRDefault="00A2493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Bis zum Jahr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2015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gab es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E1E96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für die Vermögensteuer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einen fixen Steuersatz von 0,5%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.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Dieser Steuersatz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gilt weiterhin für 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das Nettovermögen,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sofern diese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500.000.000 €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nicht übersteigt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. 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Für ein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Nettovermögen, das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diesen Betrag übersteigt,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gilt ein Steuersatz von 0,05%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470317" w:rsidRPr="00A24937" w:rsidRDefault="001D53A9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Daher wird die Vermögensteuer auf sehr hohe 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Nettov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ermögen geringer, was es 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Luxemburg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ermöglicht,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seine internationale Wettbewerbsfähigkeit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zu erhalten</w:t>
      </w:r>
      <w:r w:rsidR="0047031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E84DF7" w:rsidRPr="00A24937" w:rsidRDefault="001D53A9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Selbstverständlich sind</w:t>
      </w:r>
      <w:r w:rsidR="00E84DF7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E1E96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förderfähige Investitionen</w:t>
      </w:r>
      <w:r w:rsidR="007A4028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E1E96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abzugs</w:t>
      </w:r>
      <w:r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fähig von der</w:t>
      </w:r>
      <w:r w:rsidR="00E84DF7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E1E96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Grundlage für die Berechnung der Vermögensteuer</w:t>
      </w:r>
      <w:r w:rsidR="00E84DF7"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810AF6" w:rsidRPr="00DE1E96" w:rsidRDefault="00810AF6" w:rsidP="00782D24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C348F7" w:rsidRPr="00A24937" w:rsidRDefault="00DE1E96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  <w:t>Mindestsätze für</w:t>
      </w:r>
      <w:r w:rsidR="001D53A9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  <w:t xml:space="preserve"> Vermögensteuer </w:t>
      </w:r>
      <w: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  <w:t xml:space="preserve">und </w:t>
      </w:r>
      <w:r w:rsidR="001D53A9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  <w:t>Einkommensteuer</w:t>
      </w:r>
    </w:p>
    <w:p w:rsidR="00E84DF7" w:rsidRPr="00A24937" w:rsidRDefault="001D53A9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Bisher galt für die Einkommensteuer ein Mindestsatz von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3.210 €.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Diese Mindestbesteuerung ist abgeschafft worden und durch einen Mindestsatz bei der Vermögensteuer in Höhe von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3.210 €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ersetzt worden, welcher in folgenden Fällen gilt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:</w:t>
      </w:r>
    </w:p>
    <w:p w:rsidR="00E84DF7" w:rsidRPr="00A24937" w:rsidRDefault="00DE1E96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Finanzanlagen, Wertpapiere, gruppeninterne Forderungen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1D53A9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und Guthaben bei Banken machen mindestens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90% </w:t>
      </w:r>
      <w:r w:rsidR="001D53A9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der Bilanzsumme aus und</w:t>
      </w:r>
    </w:p>
    <w:p w:rsidR="00E84DF7" w:rsidRPr="00A24937" w:rsidRDefault="001D53A9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diese Aktiva übersteigen einen Betrag von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350.000 €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126023" w:rsidRPr="00A24937" w:rsidRDefault="00731757" w:rsidP="006358EB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In allen anderen Fällen wird ein Mindestsatz bei der Vermögensteuer erhoben, der</w:t>
      </w:r>
      <w:r w:rsidR="00E84DF7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bei</w:t>
      </w:r>
      <w:r w:rsidR="00126023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535 €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anfängt und sich jeweils nach der Bilanz der Gesellschaft richtet</w:t>
      </w:r>
      <w:r w:rsidR="00126023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  <w:r w:rsidR="00126023" w:rsidRPr="00A24937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br w:type="page"/>
      </w:r>
    </w:p>
    <w:p w:rsidR="006358EB" w:rsidRPr="007E59E0" w:rsidRDefault="00490861" w:rsidP="006358EB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lastRenderedPageBreak/>
        <w:t>Rechte an ge</w:t>
      </w:r>
      <w:r w:rsidR="00731757" w:rsidRPr="007E59E0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de-DE" w:eastAsia="fr-LU"/>
        </w:rPr>
        <w:t>istigem Eigentum</w:t>
      </w:r>
    </w:p>
    <w:p w:rsidR="00422018" w:rsidRPr="007E59E0" w:rsidRDefault="007E59E0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Über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</w:t>
      </w:r>
      <w:r w:rsidR="00797F6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instimmend mit den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Luxemburger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490861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Gesetzen über g</w:t>
      </w:r>
      <w:r w:rsidR="00DE1E96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eistiges Eigentum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731757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konnten Gesellschaften von einer Steuerbefreiung von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80% </w:t>
      </w:r>
      <w:r w:rsidR="00731757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auf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797F6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Erlöse</w:t>
      </w:r>
      <w:r w:rsidR="00490861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aus bestimmten Rechten an g</w:t>
      </w:r>
      <w:r w:rsidR="00731757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eistigem Eigentum profitieren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126023" w:rsidRPr="007E59E0" w:rsidRDefault="007E59E0" w:rsidP="00782D24">
      <w:pPr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Übereinstimmend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="00731757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mit den Entscheidungen der 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OECD </w:t>
      </w:r>
      <w:r w:rsidR="00731757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betreffend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BEPS (“Bas</w:t>
      </w:r>
      <w:r w:rsidR="00943588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e Erosion </w:t>
      </w:r>
      <w:proofErr w:type="spellStart"/>
      <w:r w:rsidR="00943588">
        <w:rPr>
          <w:rFonts w:ascii="Times New Roman" w:hAnsi="Times New Roman" w:cs="Times New Roman"/>
          <w:color w:val="002060"/>
          <w:sz w:val="24"/>
          <w:szCs w:val="24"/>
          <w:lang w:val="de-DE"/>
        </w:rPr>
        <w:t>and</w:t>
      </w:r>
      <w:proofErr w:type="spellEnd"/>
      <w:r w:rsidR="00943588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Profit </w:t>
      </w:r>
      <w:proofErr w:type="spellStart"/>
      <w:r w:rsidR="00943588">
        <w:rPr>
          <w:rFonts w:ascii="Times New Roman" w:hAnsi="Times New Roman" w:cs="Times New Roman"/>
          <w:color w:val="002060"/>
          <w:sz w:val="24"/>
          <w:szCs w:val="24"/>
          <w:lang w:val="de-DE"/>
        </w:rPr>
        <w:t>Shifting</w:t>
      </w:r>
      <w:proofErr w:type="spellEnd"/>
      <w:r w:rsidR="00943588">
        <w:rPr>
          <w:rFonts w:ascii="Times New Roman" w:hAnsi="Times New Roman" w:cs="Times New Roman"/>
          <w:color w:val="002060"/>
          <w:sz w:val="24"/>
          <w:szCs w:val="24"/>
          <w:lang w:val="de-DE"/>
        </w:rPr>
        <w:t>”)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="00731757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wird der aktuelle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="002D2136">
        <w:rPr>
          <w:rFonts w:ascii="Times New Roman" w:hAnsi="Times New Roman" w:cs="Times New Roman"/>
          <w:color w:val="002060"/>
          <w:sz w:val="24"/>
          <w:szCs w:val="24"/>
          <w:lang w:val="de-DE"/>
        </w:rPr>
        <w:t>Mechanismus</w:t>
      </w:r>
      <w:r w:rsidR="00126023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="00731757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mit Wirkung ab dem 1. Juli 2016 abgeschafft</w:t>
      </w:r>
      <w:r w:rsidR="00DA248D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.</w:t>
      </w:r>
    </w:p>
    <w:p w:rsidR="00126023" w:rsidRPr="007E59E0" w:rsidRDefault="002D2136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Das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System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einer Steuererleichterung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wird jedoch für eine Übergangsfrist bis zum 30. Juni 2021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für vor dem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31.12.2015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erworbene </w:t>
      </w:r>
      <w:r w:rsidR="0094358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Rechte</w:t>
      </w:r>
      <w:r w:rsidR="0068114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gelten</w:t>
      </w:r>
      <w:r w:rsidR="0094358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(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oder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68114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für 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während der ersten Hälfte des Jahres</w:t>
      </w:r>
      <w:r w:rsidR="00126023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2016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erworben</w:t>
      </w:r>
      <w:r w:rsidR="0094358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 Rechte, vorausgesetzt, dass diese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Recht</w:t>
      </w:r>
      <w:r w:rsidR="0094358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 nach Luxemburger Steuerrecht</w:t>
      </w:r>
      <w:r w:rsidR="007E59E0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bzw.</w:t>
      </w:r>
      <w:r w:rsidR="003126FA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nach dem Steuerrecht</w:t>
      </w:r>
      <w:r w:rsidR="007E59E0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des Landes des Verkäufers im Falle eine</w:t>
      </w:r>
      <w:r w:rsid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r vergleichbaren ausländischen R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egelung</w:t>
      </w:r>
      <w:r w:rsidR="0068114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von der Steuererleichterung profitieren)</w:t>
      </w:r>
      <w:r w:rsidR="007E59E0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422018" w:rsidRPr="007E59E0" w:rsidRDefault="007E59E0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Luxemb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urg </w:t>
      </w: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beabsichtigt </w:t>
      </w:r>
      <w:r w:rsid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eine komplette Neufassung seiner</w:t>
      </w: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Steuersonderregelung</w:t>
      </w:r>
      <w:r w:rsidR="009E1A4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für</w:t>
      </w:r>
      <w:r w:rsidR="00490861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die Rechte an g</w:t>
      </w:r>
      <w:bookmarkStart w:id="0" w:name="_GoBack"/>
      <w:bookmarkEnd w:id="0"/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eistigem Eigentum</w:t>
      </w:r>
      <w:r w:rsidR="00422018"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E17824" w:rsidRPr="009E1A48" w:rsidRDefault="00E17824" w:rsidP="00681140">
      <w:pPr>
        <w:spacing w:before="0"/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8E2274" w:rsidRPr="008E2274" w:rsidRDefault="008E2274" w:rsidP="00681140">
      <w:pPr>
        <w:spacing w:before="0"/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Neue Anti – Missbrauch-</w:t>
      </w:r>
      <w:r w:rsidRPr="008E2274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Bestimmungen </w:t>
      </w:r>
      <w:r w:rsidR="009E1A48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hinsichtlich der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</w:t>
      </w:r>
      <w:r w:rsidRPr="008E2274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Mutter-Tochter-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Direktive</w:t>
      </w:r>
    </w:p>
    <w:p w:rsidR="00FF4808" w:rsidRPr="008E2274" w:rsidRDefault="007E59E0" w:rsidP="00782D24">
      <w:pPr>
        <w:rPr>
          <w:rFonts w:ascii="Times New Roman" w:hAnsi="Times New Roman" w:cs="Times New Roman"/>
          <w:color w:val="002060"/>
          <w:sz w:val="24"/>
          <w:szCs w:val="24"/>
          <w:lang w:val="de-DE"/>
        </w:rPr>
      </w:pPr>
      <w:r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>Übereinstimmend mit den Entscheidungen der OECD hat</w:t>
      </w:r>
      <w:r w:rsidR="00422018" w:rsidRPr="007E59E0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</w:t>
      </w:r>
      <w:r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>Luxemb</w:t>
      </w:r>
      <w:r w:rsidR="00CC2A4D"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urg </w:t>
      </w:r>
      <w:r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neue </w:t>
      </w:r>
      <w:r w:rsidR="008E2274"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>Maßnahmen</w:t>
      </w:r>
      <w:r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eingeführt, die darauf abzielen, die missbräuchliche Nutzung der Direktive zu verhindern.</w:t>
      </w:r>
      <w:r w:rsidR="008E2274"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 xml:space="preserve"> So wird die wirtschaftliche Substanz wird immer wichtiger</w:t>
      </w:r>
      <w:r w:rsidR="00FF4808" w:rsidRPr="008E2274">
        <w:rPr>
          <w:rFonts w:ascii="Times New Roman" w:hAnsi="Times New Roman" w:cs="Times New Roman"/>
          <w:color w:val="002060"/>
          <w:sz w:val="24"/>
          <w:szCs w:val="24"/>
          <w:lang w:val="de-DE"/>
        </w:rPr>
        <w:t>.</w:t>
      </w:r>
    </w:p>
    <w:p w:rsidR="002C606D" w:rsidRPr="009E1A48" w:rsidRDefault="002C606D" w:rsidP="00782D24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6D4E47" w:rsidRPr="008E2274" w:rsidRDefault="008E2274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</w:pPr>
      <w:r w:rsidRPr="008E2274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de-DE" w:eastAsia="fr-LU"/>
        </w:rPr>
        <w:t>Konzernabschluss</w:t>
      </w:r>
    </w:p>
    <w:p w:rsidR="008E2274" w:rsidRPr="008E2274" w:rsidRDefault="009E1A48" w:rsidP="008E2274">
      <w:pPr>
        <w:pStyle w:val="PrformatHTML"/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Die Luxemburger</w:t>
      </w:r>
      <w:r w:rsidR="008E2274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 xml:space="preserve"> Muttergesellschaften</w:t>
      </w:r>
      <w:r w:rsidR="00FF480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 xml:space="preserve"> </w:t>
      </w:r>
      <w:r w:rsidR="008E2274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müssen Kon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zernabschlü</w:t>
      </w:r>
      <w:r w:rsid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sse erstellen, wenn</w:t>
      </w:r>
      <w:r w:rsidR="00FF480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 xml:space="preserve"> </w:t>
      </w:r>
      <w:r w:rsidR="008E2274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in zwei aufeinanderfolgenden Jahren mindestens zwei</w:t>
      </w:r>
      <w:r w:rsid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 xml:space="preserve"> der folgenden drei Kriterien (auf </w:t>
      </w:r>
      <w:r w:rsidR="008E2274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 xml:space="preserve">Konzernebene) erfüllt </w:t>
      </w:r>
      <w:r w:rsid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/>
        </w:rPr>
        <w:t>sind:</w:t>
      </w:r>
    </w:p>
    <w:p w:rsidR="00535914" w:rsidRPr="008E2274" w:rsidRDefault="008E2274" w:rsidP="008E2274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Bilanzsumme</w:t>
      </w:r>
      <w:r w:rsidR="00686555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: </w:t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="007A402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20.000.000 € (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vorher 17.500.000 €</w:t>
      </w:r>
      <w:r w:rsidR="007A402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)</w:t>
      </w:r>
    </w:p>
    <w:p w:rsidR="00686555" w:rsidRPr="008E2274" w:rsidRDefault="008E2274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Nettoumsatz</w:t>
      </w:r>
      <w:r w:rsidR="00686555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:</w:t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</w:t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="007A402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40.000.000 € (</w:t>
      </w: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vorher 35.000.000 €</w:t>
      </w:r>
      <w:r w:rsidR="007A4028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)</w:t>
      </w:r>
    </w:p>
    <w:p w:rsidR="00686555" w:rsidRPr="008E2274" w:rsidRDefault="008E2274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durchschnittliche Anzahl der Mitarbeiter</w:t>
      </w:r>
      <w:r w:rsidR="00686555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: </w:t>
      </w:r>
      <w:r w:rsidR="00DA248D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ab/>
      </w:r>
      <w:r w:rsidR="00686555" w:rsidRPr="008E2274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250</w:t>
      </w:r>
    </w:p>
    <w:p w:rsidR="006D4E47" w:rsidRPr="009E1A48" w:rsidRDefault="006D4E47" w:rsidP="00782D24">
      <w:pPr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7A4028" w:rsidRPr="009E1A48" w:rsidRDefault="009E1A48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Die</w:t>
      </w:r>
      <w:r w:rsidRP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Luxemburger Regierung er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wägt eine Steuerreform für 2017</w:t>
      </w:r>
      <w:r w:rsidRP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,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die unter anderem den</w:t>
      </w:r>
      <w:r w:rsidRP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Unternehmenssteuersatz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deutlich</w:t>
      </w:r>
      <w:r w:rsidRP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senken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 xml:space="preserve"> wird</w:t>
      </w:r>
      <w:r w:rsidR="007A4028" w:rsidRPr="009E1A48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.</w:t>
      </w:r>
    </w:p>
    <w:p w:rsidR="00510BCA" w:rsidRPr="009E1A48" w:rsidRDefault="00510BCA" w:rsidP="00681140">
      <w:pPr>
        <w:spacing w:before="0" w:after="0"/>
        <w:rPr>
          <w:rFonts w:ascii="Times New Roman" w:eastAsiaTheme="minorEastAsia" w:hAnsi="Times New Roman" w:cs="Times New Roman"/>
          <w:color w:val="002060"/>
          <w:sz w:val="16"/>
          <w:szCs w:val="16"/>
          <w:lang w:val="de-DE" w:eastAsia="fr-LU"/>
        </w:rPr>
      </w:pPr>
    </w:p>
    <w:p w:rsidR="008E2274" w:rsidRPr="00751F38" w:rsidRDefault="008E2274" w:rsidP="00681140">
      <w:pPr>
        <w:spacing w:before="0" w:after="0"/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751F38">
        <w:rPr>
          <w:rFonts w:ascii="Times New Roman" w:hAnsi="Times New Roman"/>
          <w:color w:val="003F77"/>
          <w:sz w:val="24"/>
          <w:szCs w:val="24"/>
          <w:lang w:val="de-DE"/>
        </w:rPr>
        <w:t>Für weitere Details zu diesem Memorandum wenden Sie sich bitte an:</w:t>
      </w:r>
    </w:p>
    <w:p w:rsidR="0057225A" w:rsidRPr="002549F5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</w:pPr>
      <w:r w:rsidRPr="002549F5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 xml:space="preserve">SG Audit </w:t>
      </w:r>
      <w:proofErr w:type="spellStart"/>
      <w:r w:rsidRPr="002549F5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>Sàrl</w:t>
      </w:r>
      <w:proofErr w:type="spellEnd"/>
    </w:p>
    <w:p w:rsidR="0057225A" w:rsidRPr="002549F5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231, Val des Bons-Malades</w:t>
      </w:r>
    </w:p>
    <w:p w:rsidR="0057225A" w:rsidRPr="007E59E0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L-2121 Luxembourg</w:t>
      </w:r>
    </w:p>
    <w:p w:rsidR="0057225A" w:rsidRPr="007E59E0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Tel : +352 43 89 89 1</w:t>
      </w:r>
    </w:p>
    <w:p w:rsidR="00EE2A82" w:rsidRPr="007E59E0" w:rsidRDefault="00EE2A82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</w:pPr>
      <w:r w:rsidRPr="007E59E0">
        <w:rPr>
          <w:rFonts w:ascii="Times New Roman" w:eastAsiaTheme="minorEastAsia" w:hAnsi="Times New Roman" w:cs="Times New Roman"/>
          <w:color w:val="002060"/>
          <w:sz w:val="24"/>
          <w:szCs w:val="24"/>
          <w:lang w:val="de-DE" w:eastAsia="fr-LU"/>
        </w:rPr>
        <w:t>Marc SCHMIT (m.schmit@sgluxembourg.eu)</w:t>
      </w:r>
    </w:p>
    <w:p w:rsidR="005471F2" w:rsidRPr="002549F5" w:rsidRDefault="007A4028" w:rsidP="005471F2">
      <w:pPr>
        <w:spacing w:before="0" w:after="0" w:line="276" w:lineRule="auto"/>
        <w:jc w:val="center"/>
        <w:rPr>
          <w:rFonts w:ascii="Times New Roman" w:eastAsia="Calibri" w:hAnsi="Times New Roman" w:cs="Times New Roman"/>
          <w:noProof/>
          <w:color w:val="002060"/>
          <w:sz w:val="24"/>
          <w:szCs w:val="24"/>
          <w:lang w:val="it-IT" w:eastAsia="fr-LU"/>
        </w:rPr>
      </w:pP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fr-LU"/>
        </w:rPr>
        <w:t>Marco RIES</w:t>
      </w:r>
      <w:r w:rsidR="005471F2"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fr-LU"/>
        </w:rPr>
        <w:t xml:space="preserve"> (</w:t>
      </w:r>
      <w:r w:rsidRPr="002549F5">
        <w:rPr>
          <w:rFonts w:ascii="Times New Roman" w:eastAsiaTheme="minorEastAsia" w:hAnsi="Times New Roman" w:cs="Times New Roman"/>
          <w:color w:val="002060"/>
          <w:sz w:val="24"/>
          <w:szCs w:val="24"/>
          <w:lang w:val="it-IT" w:eastAsia="fr-LU"/>
        </w:rPr>
        <w:t>m.ries@sgluxembourg.eu)</w:t>
      </w:r>
    </w:p>
    <w:sectPr w:rsidR="005471F2" w:rsidRPr="002549F5" w:rsidSect="00054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38" w:rsidRDefault="001A4238" w:rsidP="00554778">
      <w:pPr>
        <w:spacing w:before="0" w:after="0"/>
      </w:pPr>
      <w:r>
        <w:separator/>
      </w:r>
    </w:p>
  </w:endnote>
  <w:endnote w:type="continuationSeparator" w:id="0">
    <w:p w:rsidR="001A4238" w:rsidRDefault="001A4238" w:rsidP="005547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38" w:rsidRDefault="001A4238" w:rsidP="00554778">
      <w:pPr>
        <w:spacing w:before="0" w:after="0"/>
      </w:pPr>
      <w:r>
        <w:separator/>
      </w:r>
    </w:p>
  </w:footnote>
  <w:footnote w:type="continuationSeparator" w:id="0">
    <w:p w:rsidR="001A4238" w:rsidRDefault="001A4238" w:rsidP="005547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78" w:rsidRDefault="00554778">
    <w:pPr>
      <w:pStyle w:val="En-tte"/>
    </w:pPr>
  </w:p>
  <w:tbl>
    <w:tblPr>
      <w:tblStyle w:val="Grilledutableau"/>
      <w:tblW w:w="931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4208"/>
      <w:gridCol w:w="5103"/>
    </w:tblGrid>
    <w:tr w:rsidR="00554778" w:rsidRPr="00554778" w:rsidTr="001F02CC">
      <w:tc>
        <w:tcPr>
          <w:tcW w:w="9311" w:type="dxa"/>
          <w:gridSpan w:val="2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jc w:val="center"/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  <w:t>SG Audit</w:t>
          </w:r>
        </w:p>
      </w:tc>
    </w:tr>
    <w:tr w:rsidR="00554778" w:rsidRPr="00554778" w:rsidTr="001F02CC">
      <w:trPr>
        <w:trHeight w:val="756"/>
      </w:trPr>
      <w:tc>
        <w:tcPr>
          <w:tcW w:w="4208" w:type="dxa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ind w:left="1026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Newsletter</w:t>
          </w:r>
        </w:p>
      </w:tc>
      <w:tc>
        <w:tcPr>
          <w:tcW w:w="5103" w:type="dxa"/>
          <w:shd w:val="clear" w:color="auto" w:fill="365F91" w:themeFill="accent1" w:themeFillShade="BF"/>
        </w:tcPr>
        <w:p w:rsidR="00554778" w:rsidRPr="00554778" w:rsidRDefault="00554778" w:rsidP="00782D24">
          <w:pPr>
            <w:spacing w:after="220" w:line="180" w:lineRule="atLeast"/>
            <w:ind w:left="1309"/>
            <w:jc w:val="center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N° I</w:t>
          </w:r>
          <w:r w:rsidR="00404663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I</w:t>
          </w:r>
          <w:r w:rsidR="00575144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/2016</w:t>
          </w:r>
        </w:p>
      </w:tc>
    </w:tr>
  </w:tbl>
  <w:p w:rsidR="00554778" w:rsidRDefault="00554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06"/>
    <w:multiLevelType w:val="hybridMultilevel"/>
    <w:tmpl w:val="94D4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01A"/>
    <w:multiLevelType w:val="hybridMultilevel"/>
    <w:tmpl w:val="31A61B00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F16B6"/>
    <w:multiLevelType w:val="hybridMultilevel"/>
    <w:tmpl w:val="D6B6B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3389"/>
    <w:multiLevelType w:val="hybridMultilevel"/>
    <w:tmpl w:val="77D20F98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163A1"/>
    <w:multiLevelType w:val="multilevel"/>
    <w:tmpl w:val="DF4C13A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42EA4129"/>
    <w:multiLevelType w:val="hybridMultilevel"/>
    <w:tmpl w:val="2E12B2DC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246A1"/>
    <w:multiLevelType w:val="multilevel"/>
    <w:tmpl w:val="BDC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07C8"/>
    <w:multiLevelType w:val="hybridMultilevel"/>
    <w:tmpl w:val="C122D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A1B1C"/>
    <w:multiLevelType w:val="hybridMultilevel"/>
    <w:tmpl w:val="A010FBD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E20A5"/>
    <w:multiLevelType w:val="hybridMultilevel"/>
    <w:tmpl w:val="2304CE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9"/>
    <w:rsid w:val="00032920"/>
    <w:rsid w:val="00033CAD"/>
    <w:rsid w:val="00054EDA"/>
    <w:rsid w:val="00057388"/>
    <w:rsid w:val="00062EC2"/>
    <w:rsid w:val="000A37D5"/>
    <w:rsid w:val="00126023"/>
    <w:rsid w:val="00151951"/>
    <w:rsid w:val="001A4238"/>
    <w:rsid w:val="001D53A9"/>
    <w:rsid w:val="001E232A"/>
    <w:rsid w:val="002134E5"/>
    <w:rsid w:val="00241E30"/>
    <w:rsid w:val="00246A96"/>
    <w:rsid w:val="00254102"/>
    <w:rsid w:val="002549F5"/>
    <w:rsid w:val="00264EE0"/>
    <w:rsid w:val="00270C9F"/>
    <w:rsid w:val="002A0DF6"/>
    <w:rsid w:val="002A30A8"/>
    <w:rsid w:val="002C606D"/>
    <w:rsid w:val="002D2136"/>
    <w:rsid w:val="002F24E6"/>
    <w:rsid w:val="0030019E"/>
    <w:rsid w:val="003126FA"/>
    <w:rsid w:val="00312C59"/>
    <w:rsid w:val="003A6F33"/>
    <w:rsid w:val="00404663"/>
    <w:rsid w:val="00422018"/>
    <w:rsid w:val="00437B75"/>
    <w:rsid w:val="00461147"/>
    <w:rsid w:val="00470317"/>
    <w:rsid w:val="00490861"/>
    <w:rsid w:val="00497C92"/>
    <w:rsid w:val="004D5DA1"/>
    <w:rsid w:val="0050082B"/>
    <w:rsid w:val="005059F3"/>
    <w:rsid w:val="00510BCA"/>
    <w:rsid w:val="00535914"/>
    <w:rsid w:val="00535F33"/>
    <w:rsid w:val="00546AA0"/>
    <w:rsid w:val="005471F2"/>
    <w:rsid w:val="005527DF"/>
    <w:rsid w:val="00554778"/>
    <w:rsid w:val="0057225A"/>
    <w:rsid w:val="00575144"/>
    <w:rsid w:val="00587353"/>
    <w:rsid w:val="005D1F51"/>
    <w:rsid w:val="005F2DF7"/>
    <w:rsid w:val="0063029D"/>
    <w:rsid w:val="006358EB"/>
    <w:rsid w:val="00681140"/>
    <w:rsid w:val="00686555"/>
    <w:rsid w:val="00686EB2"/>
    <w:rsid w:val="006A1CFE"/>
    <w:rsid w:val="006D4E47"/>
    <w:rsid w:val="00731757"/>
    <w:rsid w:val="00782D24"/>
    <w:rsid w:val="00782E0B"/>
    <w:rsid w:val="00797F64"/>
    <w:rsid w:val="007A4028"/>
    <w:rsid w:val="007E59E0"/>
    <w:rsid w:val="007E6AAF"/>
    <w:rsid w:val="007E70CF"/>
    <w:rsid w:val="008036FA"/>
    <w:rsid w:val="00810AF6"/>
    <w:rsid w:val="008320E9"/>
    <w:rsid w:val="00882038"/>
    <w:rsid w:val="008B6E50"/>
    <w:rsid w:val="008E2274"/>
    <w:rsid w:val="00924900"/>
    <w:rsid w:val="009255A1"/>
    <w:rsid w:val="00940D86"/>
    <w:rsid w:val="00943588"/>
    <w:rsid w:val="009B71A8"/>
    <w:rsid w:val="009E1A48"/>
    <w:rsid w:val="009E53E1"/>
    <w:rsid w:val="009F0171"/>
    <w:rsid w:val="00A04C85"/>
    <w:rsid w:val="00A122C3"/>
    <w:rsid w:val="00A24937"/>
    <w:rsid w:val="00A6188E"/>
    <w:rsid w:val="00A67A78"/>
    <w:rsid w:val="00A7042E"/>
    <w:rsid w:val="00A91B61"/>
    <w:rsid w:val="00AA2444"/>
    <w:rsid w:val="00AB2D7C"/>
    <w:rsid w:val="00AF79EF"/>
    <w:rsid w:val="00B237F4"/>
    <w:rsid w:val="00B369B7"/>
    <w:rsid w:val="00B65F21"/>
    <w:rsid w:val="00B66BDB"/>
    <w:rsid w:val="00BC479C"/>
    <w:rsid w:val="00BE0C0B"/>
    <w:rsid w:val="00BE26AB"/>
    <w:rsid w:val="00C348F7"/>
    <w:rsid w:val="00C541F6"/>
    <w:rsid w:val="00C62DCA"/>
    <w:rsid w:val="00C70723"/>
    <w:rsid w:val="00C7643B"/>
    <w:rsid w:val="00C8118E"/>
    <w:rsid w:val="00C81400"/>
    <w:rsid w:val="00C92E09"/>
    <w:rsid w:val="00C94CAD"/>
    <w:rsid w:val="00CA7A36"/>
    <w:rsid w:val="00CC2A4D"/>
    <w:rsid w:val="00CC70DB"/>
    <w:rsid w:val="00CF55D6"/>
    <w:rsid w:val="00D2084E"/>
    <w:rsid w:val="00D73320"/>
    <w:rsid w:val="00D841E9"/>
    <w:rsid w:val="00DA248D"/>
    <w:rsid w:val="00DA2AF5"/>
    <w:rsid w:val="00DA2DD2"/>
    <w:rsid w:val="00DB5A3D"/>
    <w:rsid w:val="00DD6C66"/>
    <w:rsid w:val="00DE1E96"/>
    <w:rsid w:val="00E06C1C"/>
    <w:rsid w:val="00E17824"/>
    <w:rsid w:val="00E84DF7"/>
    <w:rsid w:val="00EA2733"/>
    <w:rsid w:val="00EB354E"/>
    <w:rsid w:val="00EE2A82"/>
    <w:rsid w:val="00EF6662"/>
    <w:rsid w:val="00F41073"/>
    <w:rsid w:val="00F866D1"/>
    <w:rsid w:val="00FE3429"/>
    <w:rsid w:val="00FE795A"/>
    <w:rsid w:val="00FF3E23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E2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LU" w:eastAsia="fr-L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2274"/>
    <w:rPr>
      <w:rFonts w:ascii="Courier New" w:eastAsia="Times New Roman" w:hAnsi="Courier New" w:cs="Courier New"/>
      <w:sz w:val="20"/>
      <w:szCs w:val="20"/>
      <w:lang w:val="fr-LU" w:eastAsia="fr-L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E2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LU" w:eastAsia="fr-L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2274"/>
    <w:rPr>
      <w:rFonts w:ascii="Courier New" w:eastAsia="Times New Roman" w:hAnsi="Courier New" w:cs="Courier New"/>
      <w:sz w:val="20"/>
      <w:szCs w:val="20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13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9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1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7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8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76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92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01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4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PBCounsel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Annerose Goebel</cp:lastModifiedBy>
  <cp:revision>7</cp:revision>
  <cp:lastPrinted>2016-02-10T08:59:00Z</cp:lastPrinted>
  <dcterms:created xsi:type="dcterms:W3CDTF">2016-02-11T15:17:00Z</dcterms:created>
  <dcterms:modified xsi:type="dcterms:W3CDTF">2016-02-12T15:39:00Z</dcterms:modified>
</cp:coreProperties>
</file>