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24" w:rsidRPr="00782D24" w:rsidRDefault="008B6E50" w:rsidP="00782D24">
      <w:pPr>
        <w:jc w:val="center"/>
        <w:rPr>
          <w:rFonts w:ascii="Times New Roman" w:eastAsiaTheme="minorEastAsia" w:hAnsi="Times New Roman" w:cs="Times New Roman"/>
          <w:b/>
          <w:color w:val="002060"/>
          <w:sz w:val="32"/>
          <w:szCs w:val="24"/>
          <w:lang w:val="en-US" w:eastAsia="fr-L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color w:val="002060"/>
          <w:sz w:val="32"/>
          <w:szCs w:val="24"/>
          <w:lang w:val="en-US" w:eastAsia="fr-LU"/>
        </w:rPr>
        <w:t>N</w:t>
      </w:r>
      <w:r w:rsidR="00C7643B">
        <w:rPr>
          <w:rFonts w:ascii="Times New Roman" w:eastAsiaTheme="minorEastAsia" w:hAnsi="Times New Roman" w:cs="Times New Roman"/>
          <w:b/>
          <w:color w:val="002060"/>
          <w:sz w:val="32"/>
          <w:szCs w:val="24"/>
          <w:lang w:val="en-US" w:eastAsia="fr-LU"/>
        </w:rPr>
        <w:t>ouveautés Fiscales au</w:t>
      </w:r>
      <w:r w:rsidR="00782D24" w:rsidRPr="00782D24">
        <w:rPr>
          <w:rFonts w:ascii="Times New Roman" w:eastAsiaTheme="minorEastAsia" w:hAnsi="Times New Roman" w:cs="Times New Roman"/>
          <w:b/>
          <w:color w:val="002060"/>
          <w:sz w:val="32"/>
          <w:szCs w:val="24"/>
          <w:lang w:val="en-US" w:eastAsia="fr-LU"/>
        </w:rPr>
        <w:t xml:space="preserve"> </w:t>
      </w:r>
      <w:r w:rsidR="00C7643B">
        <w:rPr>
          <w:rFonts w:ascii="Times New Roman" w:eastAsiaTheme="minorEastAsia" w:hAnsi="Times New Roman" w:cs="Times New Roman"/>
          <w:b/>
          <w:color w:val="002060"/>
          <w:sz w:val="32"/>
          <w:szCs w:val="24"/>
          <w:lang w:val="en-US" w:eastAsia="fr-LU"/>
        </w:rPr>
        <w:t>Luxembourg</w:t>
      </w:r>
    </w:p>
    <w:p w:rsidR="00241E30" w:rsidRPr="00B66BDB" w:rsidRDefault="00241E30" w:rsidP="0057225A">
      <w:pPr>
        <w:pBdr>
          <w:bottom w:val="double" w:sz="4" w:space="1" w:color="17365D" w:themeColor="text2" w:themeShade="BF"/>
        </w:pBdr>
        <w:jc w:val="center"/>
        <w:rPr>
          <w:rFonts w:ascii="Times New Roman" w:eastAsiaTheme="minorEastAsia" w:hAnsi="Times New Roman" w:cs="Times New Roman"/>
          <w:b/>
          <w:color w:val="002060"/>
          <w:sz w:val="32"/>
          <w:szCs w:val="24"/>
          <w:lang w:val="en-US" w:eastAsia="fr-LU"/>
        </w:rPr>
      </w:pPr>
    </w:p>
    <w:p w:rsidR="0030019E" w:rsidRPr="00B66BDB" w:rsidRDefault="0030019E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</w:p>
    <w:p w:rsidR="00C7643B" w:rsidRPr="00C7643B" w:rsidRDefault="00C7643B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</w:pPr>
      <w:r w:rsidRPr="00C7643B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Par les dernières mesures fiscales votées, le législateur a démontré sa volonté d’accroître l’attractivité et la compétitivité du Luxem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b</w:t>
      </w:r>
      <w:r w:rsidRPr="00C7643B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ourg sur le plan international.</w:t>
      </w:r>
    </w:p>
    <w:p w:rsidR="00575144" w:rsidRDefault="00575144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</w:p>
    <w:p w:rsidR="00575144" w:rsidRPr="00575144" w:rsidRDefault="00575144" w:rsidP="00782D24">
      <w:pPr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en-US" w:eastAsia="fr-LU"/>
        </w:rPr>
      </w:pPr>
      <w:r w:rsidRPr="00575144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en-US" w:eastAsia="fr-LU"/>
        </w:rPr>
        <w:t>Step up</w:t>
      </w:r>
      <w:r w:rsidR="00C7643B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en-US" w:eastAsia="fr-LU"/>
        </w:rPr>
        <w:t xml:space="preserve"> fiscal</w:t>
      </w:r>
    </w:p>
    <w:p w:rsidR="00C7643B" w:rsidRPr="00C7643B" w:rsidRDefault="00C7643B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</w:pPr>
      <w:r w:rsidRPr="00C7643B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Le législateur a introduit une dérogation au principe de l’imposition des plus-value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s</w:t>
      </w:r>
      <w:r w:rsidRPr="00C7643B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 xml:space="preserve"> réalisées par le biais du 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 xml:space="preserve">mécanisme du « step-up ». En cas de cession d’une participation importante (&gt;10%) postérieurement au transfert de résidence au Luxembourg, la plus-value réalisée se calcule dorénavant sur base de la différence entre le prix de vente et la valeur (estimée) de réalisation des titres au moment </w:t>
      </w:r>
      <w:r w:rsidR="00470317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du transfert de la résidence fiscale au Luxembourg. Ainsi le Luxembourg renonce à son droit d’imposition de la plus-value latente accumulée dans l’ancien pays de résidence, et évite une potentielle double imposition.</w:t>
      </w:r>
    </w:p>
    <w:p w:rsidR="00575144" w:rsidRDefault="00575144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</w:p>
    <w:p w:rsidR="00470317" w:rsidRPr="00470317" w:rsidRDefault="00470317" w:rsidP="00782D24">
      <w:pPr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fr-LU" w:eastAsia="fr-LU"/>
        </w:rPr>
      </w:pPr>
      <w:r w:rsidRPr="00470317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fr-LU" w:eastAsia="fr-LU"/>
        </w:rPr>
        <w:t xml:space="preserve">Barème dégressif pour le calcul de l’Impôt sur la </w:t>
      </w:r>
      <w:r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fr-LU" w:eastAsia="fr-LU"/>
        </w:rPr>
        <w:t>F</w:t>
      </w:r>
      <w:r w:rsidRPr="00470317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fr-LU" w:eastAsia="fr-LU"/>
        </w:rPr>
        <w:t>ortune</w:t>
      </w:r>
    </w:p>
    <w:p w:rsidR="00470317" w:rsidRPr="00470317" w:rsidRDefault="00470317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</w:pPr>
      <w:r w:rsidRPr="00470317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Jusqu’en 2015 le taux fixe unique de l’IF était de 0,5%. Ce taux d’imposition reste applicable à la fortune nette dans la mesure o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ù celle-ci ne dépasse pas 500.000.000 €. Pour une fortune nette supérieure à ce montant un taux de 0,05% s’applique.</w:t>
      </w:r>
    </w:p>
    <w:p w:rsidR="00470317" w:rsidRDefault="00470317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</w:pPr>
      <w:r w:rsidRPr="00470317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Ainsi l’IF dû sera moins importantes sur les fortunes nettes très élevées ce qui devrait permettre au Luxembourg de conserver sa compétitivité internati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o</w:t>
      </w:r>
      <w:r w:rsidRPr="00470317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nale.</w:t>
      </w:r>
    </w:p>
    <w:p w:rsidR="00E84DF7" w:rsidRDefault="00E84DF7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</w:pP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 xml:space="preserve">Il va de soi que les </w:t>
      </w:r>
      <w:r w:rsidR="007A4028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investissements éligibles sont déductibles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 xml:space="preserve"> de la base d’assiette du calcul de l’IF.</w:t>
      </w:r>
    </w:p>
    <w:p w:rsidR="00810AF6" w:rsidRPr="007A4028" w:rsidRDefault="00810AF6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</w:pPr>
    </w:p>
    <w:p w:rsidR="00C348F7" w:rsidRPr="00810AF6" w:rsidRDefault="00C348F7" w:rsidP="00782D24">
      <w:pPr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en-US" w:eastAsia="fr-LU"/>
        </w:rPr>
      </w:pPr>
      <w:r w:rsidRPr="00810AF6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en-US" w:eastAsia="fr-LU"/>
        </w:rPr>
        <w:t>M</w:t>
      </w:r>
      <w:r w:rsidR="00E17824" w:rsidRPr="00810AF6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en-US" w:eastAsia="fr-LU"/>
        </w:rPr>
        <w:t xml:space="preserve">inimum </w:t>
      </w:r>
      <w:r w:rsidR="00E84DF7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en-US" w:eastAsia="fr-LU"/>
        </w:rPr>
        <w:t>IF et</w:t>
      </w:r>
      <w:r w:rsidR="00E17824" w:rsidRPr="00810AF6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en-US" w:eastAsia="fr-LU"/>
        </w:rPr>
        <w:t xml:space="preserve"> minimum </w:t>
      </w:r>
      <w:r w:rsidR="00E84DF7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en-US" w:eastAsia="fr-LU"/>
        </w:rPr>
        <w:t>IRC</w:t>
      </w:r>
    </w:p>
    <w:p w:rsidR="00E84DF7" w:rsidRPr="00E84DF7" w:rsidRDefault="00E84DF7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</w:pPr>
      <w:r w:rsidRPr="00E84DF7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 xml:space="preserve">Un impôt sur le 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revenu</w:t>
      </w:r>
      <w:r w:rsidRPr="00E84DF7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 xml:space="preserve"> des collectivités minimum de 3.210 € était applicable. Cette taxation minimale est abolie et remplacée par un IF minimum d’un montant de 3.210 € applicable si:</w:t>
      </w:r>
    </w:p>
    <w:p w:rsidR="00E84DF7" w:rsidRDefault="007A4028" w:rsidP="00C348F7">
      <w:pPr>
        <w:pStyle w:val="Paragraphedeliste"/>
        <w:numPr>
          <w:ilvl w:val="0"/>
          <w:numId w:val="9"/>
        </w:numP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</w:pP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l</w:t>
      </w:r>
      <w:r w:rsidR="00E84DF7" w:rsidRPr="00E84DF7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es immobilisations financières, les valeurs mobilières, les créances intra-groupe et les avoirs en banques constituent au moins 90% du total du</w:t>
      </w:r>
      <w:r w:rsidR="00E84DF7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 xml:space="preserve"> </w:t>
      </w:r>
      <w:r w:rsidR="00E84DF7" w:rsidRPr="00E84DF7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bilan</w:t>
      </w:r>
      <w:r w:rsidR="00E84DF7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 xml:space="preserve"> et</w:t>
      </w:r>
    </w:p>
    <w:p w:rsidR="00E84DF7" w:rsidRPr="00E84DF7" w:rsidRDefault="007A4028" w:rsidP="00C348F7">
      <w:pPr>
        <w:pStyle w:val="Paragraphedeliste"/>
        <w:numPr>
          <w:ilvl w:val="0"/>
          <w:numId w:val="9"/>
        </w:numP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</w:pP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c</w:t>
      </w:r>
      <w:r w:rsidR="00E84DF7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es actifs excèdent un montant de 350.000 €</w:t>
      </w:r>
    </w:p>
    <w:p w:rsidR="00126023" w:rsidRPr="00126023" w:rsidRDefault="00E84DF7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</w:pPr>
      <w:r w:rsidRPr="00126023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 xml:space="preserve">Dans tous les autres cas un IF minimum </w:t>
      </w:r>
      <w:r w:rsidR="00126023" w:rsidRPr="00126023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est appliqué, démarrant à 535 €, en fo</w:t>
      </w:r>
      <w:r w:rsidR="00126023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nc</w:t>
      </w:r>
      <w:r w:rsidR="00126023" w:rsidRPr="00126023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tion du bilan de la société.</w:t>
      </w:r>
    </w:p>
    <w:p w:rsidR="00126023" w:rsidRDefault="00126023" w:rsidP="006358EB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</w:pP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br w:type="page"/>
      </w:r>
    </w:p>
    <w:p w:rsidR="006358EB" w:rsidRPr="00126023" w:rsidRDefault="00126023" w:rsidP="006358EB">
      <w:pPr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fr-LU" w:eastAsia="fr-LU"/>
        </w:rPr>
      </w:pPr>
      <w:r w:rsidRPr="00126023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fr-LU" w:eastAsia="fr-LU"/>
        </w:rPr>
        <w:lastRenderedPageBreak/>
        <w:t>Droits de Propriété Intellectuelle “IP”</w:t>
      </w:r>
    </w:p>
    <w:p w:rsidR="00422018" w:rsidRDefault="00422018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</w:pPr>
      <w:r w:rsidRPr="00422018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En accord avec le régime IP luxembourgeois, les sociétés pouvai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en</w:t>
      </w:r>
      <w:r w:rsidRPr="00422018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 xml:space="preserve">t profiter 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d’une exonération fiscale de 80% sur les produits gérés par certains droits intellectuels.</w:t>
      </w:r>
    </w:p>
    <w:p w:rsidR="00126023" w:rsidRPr="00DA248D" w:rsidRDefault="00126023" w:rsidP="00782D24">
      <w:pPr>
        <w:rPr>
          <w:rFonts w:ascii="Times New Roman" w:hAnsi="Times New Roman" w:cs="Times New Roman"/>
          <w:color w:val="002060"/>
          <w:sz w:val="24"/>
          <w:szCs w:val="24"/>
          <w:lang w:val="fr-LU"/>
        </w:rPr>
      </w:pPr>
      <w:r w:rsidRPr="00DA248D">
        <w:rPr>
          <w:rFonts w:ascii="Times New Roman" w:hAnsi="Times New Roman" w:cs="Times New Roman"/>
          <w:color w:val="002060"/>
          <w:sz w:val="24"/>
          <w:szCs w:val="24"/>
          <w:lang w:val="fr-LU"/>
        </w:rPr>
        <w:t>En accord avec les décisions prises par l’OECD concernant le BEPS (“Base Erosion and Profit Shifting”), le mécanisme actuel sera abrogé avec effet au 1er juillet 2016</w:t>
      </w:r>
      <w:r w:rsidR="00DA248D" w:rsidRPr="00DA248D">
        <w:rPr>
          <w:rFonts w:ascii="Times New Roman" w:hAnsi="Times New Roman" w:cs="Times New Roman"/>
          <w:color w:val="002060"/>
          <w:sz w:val="24"/>
          <w:szCs w:val="24"/>
          <w:lang w:val="fr-LU"/>
        </w:rPr>
        <w:t>.</w:t>
      </w:r>
    </w:p>
    <w:p w:rsidR="00126023" w:rsidRPr="00DA248D" w:rsidRDefault="00126023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</w:pPr>
      <w:r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 xml:space="preserve">Le régime d’exonération partielle restera cependant disponible pendant une période transitoire jusqu’au 30 juin 2021 pour les droits acquis avant le 31.12.2015 </w:t>
      </w:r>
      <w:r w:rsid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(</w:t>
      </w:r>
      <w:r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 xml:space="preserve">ou acquis pendant le premier semestre de l’année 2016 et que ce droit a été éligible </w:t>
      </w:r>
      <w:r w:rsid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 xml:space="preserve">au régime luxembourgeois </w:t>
      </w:r>
      <w:r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ou à un régime étranger comparable dans le chef du vendeur).</w:t>
      </w:r>
    </w:p>
    <w:p w:rsidR="00422018" w:rsidRPr="00DA248D" w:rsidRDefault="00422018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</w:pPr>
      <w:r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Le Luxembourg envisage une refonte complète de son régime fiscale dérogatoire applicable aux droits de propriété intellectuelle.</w:t>
      </w:r>
    </w:p>
    <w:p w:rsidR="00E17824" w:rsidRPr="00126023" w:rsidRDefault="00E17824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</w:pPr>
    </w:p>
    <w:p w:rsidR="00422018" w:rsidRPr="00422018" w:rsidRDefault="00422018" w:rsidP="00782D24">
      <w:pPr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fr-LU" w:eastAsia="fr-LU"/>
        </w:rPr>
      </w:pPr>
      <w:r w:rsidRPr="00422018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fr-LU" w:eastAsia="fr-LU"/>
        </w:rPr>
        <w:t>Nouvelles dispositions anti-abus pour le régime mère filiale</w:t>
      </w:r>
      <w:r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fr-LU" w:eastAsia="fr-LU"/>
        </w:rPr>
        <w:t>s</w:t>
      </w:r>
    </w:p>
    <w:p w:rsidR="00FF4808" w:rsidRDefault="00422018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</w:pPr>
      <w:r w:rsidRPr="00DA248D">
        <w:rPr>
          <w:rFonts w:ascii="Times New Roman" w:hAnsi="Times New Roman" w:cs="Times New Roman"/>
          <w:color w:val="002060"/>
          <w:sz w:val="24"/>
          <w:szCs w:val="24"/>
          <w:lang w:val="fr-LU"/>
        </w:rPr>
        <w:t>En accord avec les décisions prises par l’OECD</w:t>
      </w:r>
      <w:r w:rsidR="00DA248D" w:rsidRPr="00DA248D">
        <w:rPr>
          <w:rFonts w:ascii="Times New Roman" w:hAnsi="Times New Roman" w:cs="Times New Roman"/>
          <w:color w:val="002060"/>
          <w:sz w:val="24"/>
          <w:szCs w:val="24"/>
          <w:lang w:val="fr-LU"/>
        </w:rPr>
        <w:t>,</w:t>
      </w:r>
      <w:r w:rsidRPr="00DA248D">
        <w:rPr>
          <w:rFonts w:ascii="Times New Roman" w:hAnsi="Times New Roman" w:cs="Times New Roman"/>
          <w:color w:val="002060"/>
          <w:sz w:val="24"/>
          <w:szCs w:val="24"/>
          <w:lang w:val="fr-LU"/>
        </w:rPr>
        <w:t xml:space="preserve"> le </w:t>
      </w:r>
      <w:r w:rsidR="00CC2A4D"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 xml:space="preserve">Luxembourg </w:t>
      </w:r>
      <w:r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a introduit de nouvelles mesures visant à prévenir l’utilisation abusive de la directive. A</w:t>
      </w:r>
      <w:r w:rsidR="00FF4808"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insi la substance économique</w:t>
      </w:r>
      <w:r w:rsidR="00FF4808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 xml:space="preserve"> deviendra de plus en plus importante.</w:t>
      </w:r>
    </w:p>
    <w:p w:rsidR="002C606D" w:rsidRDefault="002C606D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</w:p>
    <w:p w:rsidR="006D4E47" w:rsidRPr="00A91B61" w:rsidRDefault="00FF4808" w:rsidP="00782D24">
      <w:pPr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en-US" w:eastAsia="fr-LU"/>
        </w:rPr>
      </w:pPr>
      <w:r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en-US" w:eastAsia="fr-LU"/>
        </w:rPr>
        <w:t>Etats financiers consolidés</w:t>
      </w:r>
    </w:p>
    <w:p w:rsidR="00FF4808" w:rsidRPr="00DA248D" w:rsidRDefault="00FF4808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</w:pPr>
      <w:r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Les sociétés mères luxembourgeoises doivent pr</w:t>
      </w:r>
      <w:r w:rsidR="007A4028"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é</w:t>
      </w:r>
      <w:r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parer des comptes co</w:t>
      </w:r>
      <w:r w:rsidR="007A4028"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n</w:t>
      </w:r>
      <w:r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solidés si, pour deux années cons</w:t>
      </w:r>
      <w:r w:rsidR="007A4028"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é</w:t>
      </w:r>
      <w:r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 xml:space="preserve">cutives, au moins deux des trois critères </w:t>
      </w:r>
      <w:r w:rsidR="00DA248D"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 xml:space="preserve">suivants </w:t>
      </w:r>
      <w:r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sont remplis</w:t>
      </w:r>
      <w:r w:rsidR="00DA248D"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 xml:space="preserve"> (niveau Groupe)</w:t>
      </w:r>
      <w:r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:</w:t>
      </w:r>
    </w:p>
    <w:p w:rsidR="00535914" w:rsidRPr="00DA248D" w:rsidRDefault="007A4028" w:rsidP="00686555">
      <w:pPr>
        <w:pStyle w:val="Paragraphedeliste"/>
        <w:numPr>
          <w:ilvl w:val="0"/>
          <w:numId w:val="10"/>
        </w:numP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</w:pPr>
      <w:r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t</w:t>
      </w:r>
      <w:r w:rsidR="00686555"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 xml:space="preserve">otal </w:t>
      </w:r>
      <w:r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du bilan</w:t>
      </w:r>
      <w:r w:rsidR="00686555"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 xml:space="preserve">: </w:t>
      </w:r>
      <w:r w:rsidR="00DA248D"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ab/>
      </w:r>
      <w:r w:rsidR="00DA248D"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ab/>
      </w:r>
      <w:r w:rsidR="00DA248D"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ab/>
      </w:r>
      <w:r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20.000.000 € (17.500.000 € auparavant)</w:t>
      </w:r>
    </w:p>
    <w:p w:rsidR="00686555" w:rsidRPr="00DA248D" w:rsidRDefault="007A4028" w:rsidP="00686555">
      <w:pPr>
        <w:pStyle w:val="Paragraphedeliste"/>
        <w:numPr>
          <w:ilvl w:val="0"/>
          <w:numId w:val="10"/>
        </w:numP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</w:pPr>
      <w:r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chiffre d’affaires net</w:t>
      </w:r>
      <w:r w:rsidR="00686555"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:</w:t>
      </w:r>
      <w:r w:rsidR="00DA248D"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 xml:space="preserve"> </w:t>
      </w:r>
      <w:r w:rsidR="00DA248D"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ab/>
      </w:r>
      <w:r w:rsidR="00DA248D"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ab/>
      </w:r>
      <w:r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40.000.000 € (35.000.000 € auparavant)</w:t>
      </w:r>
    </w:p>
    <w:p w:rsidR="00686555" w:rsidRPr="00DA248D" w:rsidRDefault="007A4028" w:rsidP="00686555">
      <w:pPr>
        <w:pStyle w:val="Paragraphedeliste"/>
        <w:numPr>
          <w:ilvl w:val="0"/>
          <w:numId w:val="10"/>
        </w:numP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</w:pPr>
      <w:r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nombre moyen de salariés</w:t>
      </w:r>
      <w:r w:rsidR="00686555"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 xml:space="preserve">: </w:t>
      </w:r>
      <w:r w:rsidR="00DA248D"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ab/>
      </w:r>
      <w:r w:rsidR="00686555"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250</w:t>
      </w:r>
    </w:p>
    <w:p w:rsidR="006D4E47" w:rsidRPr="00DA248D" w:rsidRDefault="006D4E47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</w:pPr>
    </w:p>
    <w:p w:rsidR="007A4028" w:rsidRPr="00DA248D" w:rsidRDefault="007A4028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</w:pPr>
      <w:r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Le gouvernement luxembourgeois envisage une réforme fiscale pour 2017 qui devrait</w:t>
      </w:r>
      <w:r w:rsidR="00DA248D"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, entre autres,</w:t>
      </w:r>
      <w:r w:rsidRPr="00DA248D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 xml:space="preserve"> diminuer d’une manière significative le taux d’imposition des sociétés.</w:t>
      </w:r>
    </w:p>
    <w:p w:rsidR="00510BCA" w:rsidRPr="00DA248D" w:rsidRDefault="00510BCA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</w:pPr>
    </w:p>
    <w:p w:rsidR="007A4028" w:rsidRPr="00DA248D" w:rsidRDefault="007A4028" w:rsidP="007A4028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fr-LU"/>
        </w:rPr>
      </w:pPr>
      <w:r w:rsidRPr="00DA248D">
        <w:rPr>
          <w:rFonts w:ascii="Times New Roman" w:hAnsi="Times New Roman" w:cs="Times New Roman"/>
          <w:color w:val="002060"/>
          <w:sz w:val="24"/>
          <w:szCs w:val="24"/>
          <w:lang w:val="fr-LU"/>
        </w:rPr>
        <w:t>Pour de plus amples détails concernant ce mémorandum, merci de vous adresser à</w:t>
      </w:r>
    </w:p>
    <w:p w:rsidR="0057225A" w:rsidRPr="0057225A" w:rsidRDefault="0057225A" w:rsidP="0057225A">
      <w:pPr>
        <w:spacing w:before="0" w:after="0" w:line="276" w:lineRule="auto"/>
        <w:jc w:val="center"/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fr-LU" w:eastAsia="fr-LU"/>
        </w:rPr>
      </w:pPr>
      <w:r w:rsidRPr="0057225A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fr-LU" w:eastAsia="fr-LU"/>
        </w:rPr>
        <w:t>SG Audit Sàrl</w:t>
      </w:r>
    </w:p>
    <w:p w:rsidR="0057225A" w:rsidRPr="0057225A" w:rsidRDefault="0057225A" w:rsidP="0057225A">
      <w:pPr>
        <w:spacing w:before="0" w:after="0" w:line="276" w:lineRule="auto"/>
        <w:jc w:val="center"/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</w:pPr>
      <w:r w:rsidRPr="0057225A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231, Val des Bons-Malades</w:t>
      </w:r>
    </w:p>
    <w:p w:rsidR="0057225A" w:rsidRPr="00C7643B" w:rsidRDefault="0057225A" w:rsidP="0057225A">
      <w:pPr>
        <w:spacing w:before="0" w:after="0" w:line="276" w:lineRule="auto"/>
        <w:jc w:val="center"/>
        <w:rPr>
          <w:rFonts w:ascii="Times New Roman" w:eastAsiaTheme="minorEastAsia" w:hAnsi="Times New Roman" w:cs="Times New Roman"/>
          <w:color w:val="002060"/>
          <w:sz w:val="24"/>
          <w:szCs w:val="24"/>
          <w:lang w:val="de-LU" w:eastAsia="fr-LU"/>
        </w:rPr>
      </w:pPr>
      <w:r w:rsidRPr="00C7643B">
        <w:rPr>
          <w:rFonts w:ascii="Times New Roman" w:eastAsiaTheme="minorEastAsia" w:hAnsi="Times New Roman" w:cs="Times New Roman"/>
          <w:color w:val="002060"/>
          <w:sz w:val="24"/>
          <w:szCs w:val="24"/>
          <w:lang w:val="de-LU" w:eastAsia="fr-LU"/>
        </w:rPr>
        <w:t>L-2121 Luxembourg</w:t>
      </w:r>
    </w:p>
    <w:p w:rsidR="0057225A" w:rsidRPr="00C7643B" w:rsidRDefault="0057225A" w:rsidP="0057225A">
      <w:pPr>
        <w:spacing w:before="0" w:after="0" w:line="276" w:lineRule="auto"/>
        <w:jc w:val="center"/>
        <w:rPr>
          <w:rFonts w:ascii="Times New Roman" w:eastAsiaTheme="minorEastAsia" w:hAnsi="Times New Roman" w:cs="Times New Roman"/>
          <w:color w:val="002060"/>
          <w:sz w:val="24"/>
          <w:szCs w:val="24"/>
          <w:lang w:val="de-LU" w:eastAsia="fr-LU"/>
        </w:rPr>
      </w:pPr>
      <w:r w:rsidRPr="00C7643B">
        <w:rPr>
          <w:rFonts w:ascii="Times New Roman" w:eastAsiaTheme="minorEastAsia" w:hAnsi="Times New Roman" w:cs="Times New Roman"/>
          <w:color w:val="002060"/>
          <w:sz w:val="24"/>
          <w:szCs w:val="24"/>
          <w:lang w:val="de-LU" w:eastAsia="fr-LU"/>
        </w:rPr>
        <w:t>Tel : +352 43 89 89 1</w:t>
      </w:r>
    </w:p>
    <w:p w:rsidR="00EE2A82" w:rsidRPr="00312C59" w:rsidRDefault="00EE2A82" w:rsidP="0057225A">
      <w:pPr>
        <w:spacing w:before="0" w:after="0" w:line="276" w:lineRule="auto"/>
        <w:jc w:val="center"/>
        <w:rPr>
          <w:rFonts w:ascii="Times New Roman" w:eastAsiaTheme="minorEastAsia" w:hAnsi="Times New Roman" w:cs="Times New Roman"/>
          <w:color w:val="002060"/>
          <w:sz w:val="24"/>
          <w:szCs w:val="24"/>
          <w:lang w:val="de-LU" w:eastAsia="fr-LU"/>
        </w:rPr>
      </w:pPr>
      <w:r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de-LU" w:eastAsia="fr-LU"/>
        </w:rPr>
        <w:t>Marc SCHMIT (m.schmit@sgluxembourg.eu)</w:t>
      </w:r>
    </w:p>
    <w:p w:rsidR="005471F2" w:rsidRPr="007A4028" w:rsidRDefault="007A4028" w:rsidP="005471F2">
      <w:pPr>
        <w:spacing w:before="0" w:after="0" w:line="276" w:lineRule="auto"/>
        <w:jc w:val="center"/>
        <w:rPr>
          <w:rFonts w:ascii="Times New Roman" w:eastAsia="Calibri" w:hAnsi="Times New Roman" w:cs="Times New Roman"/>
          <w:noProof/>
          <w:color w:val="002060"/>
          <w:sz w:val="24"/>
          <w:szCs w:val="24"/>
          <w:lang w:val="en-US" w:eastAsia="fr-LU"/>
        </w:rPr>
      </w:pP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es-ES" w:eastAsia="fr-LU"/>
        </w:rPr>
        <w:t>Marco RIES</w:t>
      </w:r>
      <w:r w:rsidR="005471F2" w:rsidRPr="0057225A">
        <w:rPr>
          <w:rFonts w:ascii="Times New Roman" w:eastAsiaTheme="minorEastAsia" w:hAnsi="Times New Roman" w:cs="Times New Roman"/>
          <w:color w:val="002060"/>
          <w:sz w:val="24"/>
          <w:szCs w:val="24"/>
          <w:lang w:val="es-ES" w:eastAsia="fr-LU"/>
        </w:rPr>
        <w:t xml:space="preserve"> (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es-ES" w:eastAsia="fr-LU"/>
        </w:rPr>
        <w:t>m.ries@sgluxembourg.eu)</w:t>
      </w:r>
    </w:p>
    <w:sectPr w:rsidR="005471F2" w:rsidRPr="007A4028" w:rsidSect="00054E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3B9" w:rsidRDefault="008E13B9" w:rsidP="00554778">
      <w:pPr>
        <w:spacing w:before="0" w:after="0"/>
      </w:pPr>
      <w:r>
        <w:separator/>
      </w:r>
    </w:p>
  </w:endnote>
  <w:endnote w:type="continuationSeparator" w:id="0">
    <w:p w:rsidR="008E13B9" w:rsidRDefault="008E13B9" w:rsidP="005547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3B9" w:rsidRDefault="008E13B9" w:rsidP="00554778">
      <w:pPr>
        <w:spacing w:before="0" w:after="0"/>
      </w:pPr>
      <w:r>
        <w:separator/>
      </w:r>
    </w:p>
  </w:footnote>
  <w:footnote w:type="continuationSeparator" w:id="0">
    <w:p w:rsidR="008E13B9" w:rsidRDefault="008E13B9" w:rsidP="0055477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778" w:rsidRDefault="00554778">
    <w:pPr>
      <w:pStyle w:val="En-tte"/>
    </w:pPr>
  </w:p>
  <w:tbl>
    <w:tblPr>
      <w:tblStyle w:val="Grilledutableau"/>
      <w:tblW w:w="931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365F91" w:themeFill="accent1" w:themeFillShade="BF"/>
      <w:tblLook w:val="04A0" w:firstRow="1" w:lastRow="0" w:firstColumn="1" w:lastColumn="0" w:noHBand="0" w:noVBand="1"/>
    </w:tblPr>
    <w:tblGrid>
      <w:gridCol w:w="4208"/>
      <w:gridCol w:w="5103"/>
    </w:tblGrid>
    <w:tr w:rsidR="00554778" w:rsidRPr="00554778" w:rsidTr="001F02CC">
      <w:tc>
        <w:tcPr>
          <w:tcW w:w="9311" w:type="dxa"/>
          <w:gridSpan w:val="2"/>
          <w:shd w:val="clear" w:color="auto" w:fill="365F91" w:themeFill="accent1" w:themeFillShade="BF"/>
        </w:tcPr>
        <w:p w:rsidR="00554778" w:rsidRPr="00554778" w:rsidRDefault="00554778" w:rsidP="00554778">
          <w:pPr>
            <w:spacing w:after="220" w:line="180" w:lineRule="atLeast"/>
            <w:jc w:val="center"/>
            <w:rPr>
              <w:rFonts w:asciiTheme="majorHAnsi" w:hAnsiTheme="majorHAnsi"/>
              <w:iCs/>
              <w:color w:val="FFFFFF" w:themeColor="background1"/>
              <w:sz w:val="96"/>
              <w:szCs w:val="96"/>
            </w:rPr>
          </w:pPr>
          <w:r w:rsidRPr="00554778">
            <w:rPr>
              <w:rFonts w:asciiTheme="majorHAnsi" w:hAnsiTheme="majorHAnsi"/>
              <w:iCs/>
              <w:color w:val="FFFFFF" w:themeColor="background1"/>
              <w:sz w:val="96"/>
              <w:szCs w:val="96"/>
            </w:rPr>
            <w:t>SG Audit</w:t>
          </w:r>
        </w:p>
      </w:tc>
    </w:tr>
    <w:tr w:rsidR="00554778" w:rsidRPr="00554778" w:rsidTr="001F02CC">
      <w:trPr>
        <w:trHeight w:val="756"/>
      </w:trPr>
      <w:tc>
        <w:tcPr>
          <w:tcW w:w="4208" w:type="dxa"/>
          <w:shd w:val="clear" w:color="auto" w:fill="365F91" w:themeFill="accent1" w:themeFillShade="BF"/>
        </w:tcPr>
        <w:p w:rsidR="00554778" w:rsidRPr="00554778" w:rsidRDefault="00554778" w:rsidP="00554778">
          <w:pPr>
            <w:spacing w:after="220" w:line="180" w:lineRule="atLeast"/>
            <w:ind w:left="1026"/>
            <w:rPr>
              <w:rFonts w:asciiTheme="majorHAnsi" w:hAnsiTheme="majorHAnsi"/>
              <w:iCs/>
              <w:color w:val="FFFFFF" w:themeColor="background1"/>
              <w:sz w:val="24"/>
              <w:szCs w:val="24"/>
            </w:rPr>
          </w:pPr>
          <w:r w:rsidRPr="00554778">
            <w:rPr>
              <w:rFonts w:asciiTheme="majorHAnsi" w:hAnsiTheme="majorHAnsi"/>
              <w:iCs/>
              <w:color w:val="FFFFFF" w:themeColor="background1"/>
              <w:sz w:val="24"/>
              <w:szCs w:val="24"/>
            </w:rPr>
            <w:t>Newsletter</w:t>
          </w:r>
        </w:p>
      </w:tc>
      <w:tc>
        <w:tcPr>
          <w:tcW w:w="5103" w:type="dxa"/>
          <w:shd w:val="clear" w:color="auto" w:fill="365F91" w:themeFill="accent1" w:themeFillShade="BF"/>
        </w:tcPr>
        <w:p w:rsidR="00554778" w:rsidRPr="00554778" w:rsidRDefault="00554778" w:rsidP="00782D24">
          <w:pPr>
            <w:spacing w:after="220" w:line="180" w:lineRule="atLeast"/>
            <w:ind w:left="1309"/>
            <w:jc w:val="center"/>
            <w:rPr>
              <w:rFonts w:asciiTheme="majorHAnsi" w:hAnsiTheme="majorHAnsi"/>
              <w:iCs/>
              <w:color w:val="FFFFFF" w:themeColor="background1"/>
              <w:sz w:val="24"/>
              <w:szCs w:val="24"/>
            </w:rPr>
          </w:pPr>
          <w:r w:rsidRPr="00554778">
            <w:rPr>
              <w:rFonts w:asciiTheme="majorHAnsi" w:hAnsiTheme="majorHAnsi"/>
              <w:iCs/>
              <w:color w:val="FFFFFF" w:themeColor="background1"/>
              <w:sz w:val="24"/>
              <w:szCs w:val="24"/>
            </w:rPr>
            <w:t>N° I</w:t>
          </w:r>
          <w:r w:rsidR="00404663">
            <w:rPr>
              <w:rFonts w:asciiTheme="majorHAnsi" w:hAnsiTheme="majorHAnsi"/>
              <w:iCs/>
              <w:color w:val="FFFFFF" w:themeColor="background1"/>
              <w:sz w:val="24"/>
              <w:szCs w:val="24"/>
            </w:rPr>
            <w:t>I</w:t>
          </w:r>
          <w:r w:rsidR="00575144">
            <w:rPr>
              <w:rFonts w:asciiTheme="majorHAnsi" w:hAnsiTheme="majorHAnsi"/>
              <w:iCs/>
              <w:color w:val="FFFFFF" w:themeColor="background1"/>
              <w:sz w:val="24"/>
              <w:szCs w:val="24"/>
            </w:rPr>
            <w:t>/2016</w:t>
          </w:r>
        </w:p>
      </w:tc>
    </w:tr>
  </w:tbl>
  <w:p w:rsidR="00554778" w:rsidRDefault="0055477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906"/>
    <w:multiLevelType w:val="hybridMultilevel"/>
    <w:tmpl w:val="94D41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B601A"/>
    <w:multiLevelType w:val="hybridMultilevel"/>
    <w:tmpl w:val="31A61B00"/>
    <w:lvl w:ilvl="0" w:tplc="1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F16B6"/>
    <w:multiLevelType w:val="hybridMultilevel"/>
    <w:tmpl w:val="D6B6B2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3389"/>
    <w:multiLevelType w:val="hybridMultilevel"/>
    <w:tmpl w:val="77D20F98"/>
    <w:lvl w:ilvl="0" w:tplc="1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163A1"/>
    <w:multiLevelType w:val="multilevel"/>
    <w:tmpl w:val="DF4C13AE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>
    <w:nsid w:val="42EA4129"/>
    <w:multiLevelType w:val="hybridMultilevel"/>
    <w:tmpl w:val="F88CA5FE"/>
    <w:lvl w:ilvl="0" w:tplc="1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246A1"/>
    <w:multiLevelType w:val="multilevel"/>
    <w:tmpl w:val="BDCA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EA07C8"/>
    <w:multiLevelType w:val="hybridMultilevel"/>
    <w:tmpl w:val="C122DC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EA1B1C"/>
    <w:multiLevelType w:val="hybridMultilevel"/>
    <w:tmpl w:val="A010FBDE"/>
    <w:lvl w:ilvl="0" w:tplc="1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E20A5"/>
    <w:multiLevelType w:val="hybridMultilevel"/>
    <w:tmpl w:val="2304CE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29"/>
    <w:rsid w:val="00033CAD"/>
    <w:rsid w:val="00054EDA"/>
    <w:rsid w:val="00057388"/>
    <w:rsid w:val="00062EC2"/>
    <w:rsid w:val="000A37D5"/>
    <w:rsid w:val="00126023"/>
    <w:rsid w:val="00151951"/>
    <w:rsid w:val="001A4238"/>
    <w:rsid w:val="001E232A"/>
    <w:rsid w:val="002134E5"/>
    <w:rsid w:val="00241E30"/>
    <w:rsid w:val="00246A96"/>
    <w:rsid w:val="00254102"/>
    <w:rsid w:val="00264EE0"/>
    <w:rsid w:val="00270C9F"/>
    <w:rsid w:val="002A0DF6"/>
    <w:rsid w:val="002A30A8"/>
    <w:rsid w:val="002C606D"/>
    <w:rsid w:val="002F24E6"/>
    <w:rsid w:val="0030019E"/>
    <w:rsid w:val="00312C59"/>
    <w:rsid w:val="003A6F33"/>
    <w:rsid w:val="00404663"/>
    <w:rsid w:val="00422018"/>
    <w:rsid w:val="00437B75"/>
    <w:rsid w:val="00461147"/>
    <w:rsid w:val="00470317"/>
    <w:rsid w:val="00497C92"/>
    <w:rsid w:val="004D5DA1"/>
    <w:rsid w:val="0050082B"/>
    <w:rsid w:val="005059F3"/>
    <w:rsid w:val="00510BCA"/>
    <w:rsid w:val="00535914"/>
    <w:rsid w:val="00535F33"/>
    <w:rsid w:val="005471F2"/>
    <w:rsid w:val="005527DF"/>
    <w:rsid w:val="00554778"/>
    <w:rsid w:val="0057225A"/>
    <w:rsid w:val="00575144"/>
    <w:rsid w:val="00587353"/>
    <w:rsid w:val="005D1F51"/>
    <w:rsid w:val="005F2DF7"/>
    <w:rsid w:val="0063029D"/>
    <w:rsid w:val="006358EB"/>
    <w:rsid w:val="00686555"/>
    <w:rsid w:val="00686EB2"/>
    <w:rsid w:val="006A1CFE"/>
    <w:rsid w:val="006D4E47"/>
    <w:rsid w:val="00782D24"/>
    <w:rsid w:val="00782E0B"/>
    <w:rsid w:val="007843D6"/>
    <w:rsid w:val="007A4028"/>
    <w:rsid w:val="007E6AAF"/>
    <w:rsid w:val="008036FA"/>
    <w:rsid w:val="00810AF6"/>
    <w:rsid w:val="008320E9"/>
    <w:rsid w:val="00882038"/>
    <w:rsid w:val="008B6E50"/>
    <w:rsid w:val="008E13B9"/>
    <w:rsid w:val="00924900"/>
    <w:rsid w:val="009255A1"/>
    <w:rsid w:val="00940D86"/>
    <w:rsid w:val="009B71A8"/>
    <w:rsid w:val="009E53E1"/>
    <w:rsid w:val="009F0171"/>
    <w:rsid w:val="00A04C85"/>
    <w:rsid w:val="00A122C3"/>
    <w:rsid w:val="00A6188E"/>
    <w:rsid w:val="00A67A78"/>
    <w:rsid w:val="00A7042E"/>
    <w:rsid w:val="00A91B61"/>
    <w:rsid w:val="00AA2444"/>
    <w:rsid w:val="00AB2D7C"/>
    <w:rsid w:val="00AF79EF"/>
    <w:rsid w:val="00B237F4"/>
    <w:rsid w:val="00B369B7"/>
    <w:rsid w:val="00B65F21"/>
    <w:rsid w:val="00B66BDB"/>
    <w:rsid w:val="00BC479C"/>
    <w:rsid w:val="00BE0C0B"/>
    <w:rsid w:val="00BE26AB"/>
    <w:rsid w:val="00C348F7"/>
    <w:rsid w:val="00C541F6"/>
    <w:rsid w:val="00C62DCA"/>
    <w:rsid w:val="00C70723"/>
    <w:rsid w:val="00C7643B"/>
    <w:rsid w:val="00C8118E"/>
    <w:rsid w:val="00C81400"/>
    <w:rsid w:val="00C92E09"/>
    <w:rsid w:val="00C94CAD"/>
    <w:rsid w:val="00CA7A36"/>
    <w:rsid w:val="00CC2A4D"/>
    <w:rsid w:val="00CC70DB"/>
    <w:rsid w:val="00CF55D6"/>
    <w:rsid w:val="00D2084E"/>
    <w:rsid w:val="00D73320"/>
    <w:rsid w:val="00D841E9"/>
    <w:rsid w:val="00DA248D"/>
    <w:rsid w:val="00DA2AF5"/>
    <w:rsid w:val="00DA2DD2"/>
    <w:rsid w:val="00DB5A3D"/>
    <w:rsid w:val="00DD6C66"/>
    <w:rsid w:val="00E06C1C"/>
    <w:rsid w:val="00E17824"/>
    <w:rsid w:val="00E84DF7"/>
    <w:rsid w:val="00EA2733"/>
    <w:rsid w:val="00EB354E"/>
    <w:rsid w:val="00EE2A82"/>
    <w:rsid w:val="00EF6662"/>
    <w:rsid w:val="00F41073"/>
    <w:rsid w:val="00F866D1"/>
    <w:rsid w:val="00FE3429"/>
    <w:rsid w:val="00FE795A"/>
    <w:rsid w:val="00FF3E23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4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EDA"/>
  </w:style>
  <w:style w:type="paragraph" w:styleId="Titre3">
    <w:name w:val="heading 3"/>
    <w:basedOn w:val="Normal"/>
    <w:link w:val="Titre3Car"/>
    <w:uiPriority w:val="9"/>
    <w:qFormat/>
    <w:rsid w:val="00FE3429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E342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E342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54778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554778"/>
  </w:style>
  <w:style w:type="paragraph" w:styleId="Pieddepage">
    <w:name w:val="footer"/>
    <w:basedOn w:val="Normal"/>
    <w:link w:val="PieddepageCar"/>
    <w:uiPriority w:val="99"/>
    <w:unhideWhenUsed/>
    <w:rsid w:val="00554778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54778"/>
  </w:style>
  <w:style w:type="paragraph" w:styleId="Textedebulles">
    <w:name w:val="Balloon Text"/>
    <w:basedOn w:val="Normal"/>
    <w:link w:val="TextedebullesCar"/>
    <w:uiPriority w:val="99"/>
    <w:semiHidden/>
    <w:unhideWhenUsed/>
    <w:rsid w:val="0055477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77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54778"/>
    <w:pPr>
      <w:spacing w:before="0" w:after="200" w:line="288" w:lineRule="auto"/>
      <w:jc w:val="left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82D2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A30A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A1CFE"/>
    <w:rPr>
      <w:b/>
      <w:bCs/>
    </w:rPr>
  </w:style>
  <w:style w:type="character" w:customStyle="1" w:styleId="apple-converted-space">
    <w:name w:val="apple-converted-space"/>
    <w:basedOn w:val="Policepardfaut"/>
    <w:rsid w:val="006A1CFE"/>
  </w:style>
  <w:style w:type="character" w:styleId="Accentuation">
    <w:name w:val="Emphasis"/>
    <w:basedOn w:val="Policepardfaut"/>
    <w:uiPriority w:val="20"/>
    <w:qFormat/>
    <w:rsid w:val="006A1C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4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EDA"/>
  </w:style>
  <w:style w:type="paragraph" w:styleId="Titre3">
    <w:name w:val="heading 3"/>
    <w:basedOn w:val="Normal"/>
    <w:link w:val="Titre3Car"/>
    <w:uiPriority w:val="9"/>
    <w:qFormat/>
    <w:rsid w:val="00FE3429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E342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E342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54778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554778"/>
  </w:style>
  <w:style w:type="paragraph" w:styleId="Pieddepage">
    <w:name w:val="footer"/>
    <w:basedOn w:val="Normal"/>
    <w:link w:val="PieddepageCar"/>
    <w:uiPriority w:val="99"/>
    <w:unhideWhenUsed/>
    <w:rsid w:val="00554778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54778"/>
  </w:style>
  <w:style w:type="paragraph" w:styleId="Textedebulles">
    <w:name w:val="Balloon Text"/>
    <w:basedOn w:val="Normal"/>
    <w:link w:val="TextedebullesCar"/>
    <w:uiPriority w:val="99"/>
    <w:semiHidden/>
    <w:unhideWhenUsed/>
    <w:rsid w:val="0055477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77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54778"/>
    <w:pPr>
      <w:spacing w:before="0" w:after="200" w:line="288" w:lineRule="auto"/>
      <w:jc w:val="left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82D2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A30A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A1CFE"/>
    <w:rPr>
      <w:b/>
      <w:bCs/>
    </w:rPr>
  </w:style>
  <w:style w:type="character" w:customStyle="1" w:styleId="apple-converted-space">
    <w:name w:val="apple-converted-space"/>
    <w:basedOn w:val="Policepardfaut"/>
    <w:rsid w:val="006A1CFE"/>
  </w:style>
  <w:style w:type="character" w:styleId="Accentuation">
    <w:name w:val="Emphasis"/>
    <w:basedOn w:val="Policepardfaut"/>
    <w:uiPriority w:val="20"/>
    <w:qFormat/>
    <w:rsid w:val="006A1C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PBCounsel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Catia Lopes Melo</cp:lastModifiedBy>
  <cp:revision>2</cp:revision>
  <cp:lastPrinted>2016-02-10T08:59:00Z</cp:lastPrinted>
  <dcterms:created xsi:type="dcterms:W3CDTF">2016-02-12T07:41:00Z</dcterms:created>
  <dcterms:modified xsi:type="dcterms:W3CDTF">2016-02-12T07:41:00Z</dcterms:modified>
</cp:coreProperties>
</file>